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hint="eastAsia" w:ascii="仿宋" w:hAnsi="仿宋" w:eastAsia="仿宋"/>
          <w:b/>
          <w:bCs/>
          <w:sz w:val="72"/>
          <w:szCs w:val="72"/>
        </w:rPr>
      </w:pPr>
      <w:r>
        <w:rPr>
          <w:rFonts w:hint="eastAsia" w:ascii="仿宋" w:hAnsi="仿宋" w:eastAsia="仿宋"/>
          <w:b/>
          <w:bCs/>
          <w:sz w:val="72"/>
          <w:szCs w:val="72"/>
        </w:rPr>
        <w:t>河北医科大学教师发展</w:t>
      </w: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  <w:bookmarkStart w:id="13" w:name="_GoBack"/>
      <w:bookmarkEnd w:id="13"/>
      <w:r>
        <w:rPr>
          <w:rFonts w:hint="eastAsia" w:ascii="仿宋" w:hAnsi="仿宋" w:eastAsia="仿宋"/>
          <w:b/>
          <w:bCs/>
          <w:sz w:val="72"/>
          <w:szCs w:val="72"/>
        </w:rPr>
        <w:t>平台院系管理员操作指南</w:t>
      </w:r>
    </w:p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br w:type="page"/>
      </w:r>
    </w:p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880583068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pStyle w:val="27"/>
            <w:jc w:val="center"/>
            <w:rPr>
              <w:rFonts w:ascii="仿宋" w:hAnsi="仿宋" w:eastAsia="仿宋"/>
              <w:sz w:val="28"/>
              <w:szCs w:val="28"/>
            </w:rPr>
          </w:pPr>
          <w:r>
            <w:rPr>
              <w:rFonts w:ascii="仿宋" w:hAnsi="仿宋" w:eastAsia="仿宋"/>
              <w:sz w:val="28"/>
              <w:szCs w:val="28"/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TOC \o "1-3" \h \z \u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"_Toc106894822"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一、如何登录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_Toc106894822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2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"_Toc106894823"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二、如何进行培训管理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_Toc106894823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2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"_Toc106894824"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2.1 如何发布培训活动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_Toc106894824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2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"_Toc106894825"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2.2 如何发布签到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_Toc106894825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6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"_Toc106894826"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2.3 如何发布作业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_Toc106894826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9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"_Toc106894827"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2.4 如何查看、管理报名数据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_Toc106894827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11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"_Toc106894828"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2.5 如何进行学时学分审核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_Toc106894828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12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"_Toc106894829"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2.6 如何导入历史培训数据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_Toc106894829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13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"_Toc106894830"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三、如何进行数据监控与统计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_Toc106894830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15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"_Toc106894831"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3.1 如何查看、审核学分申请记录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_Toc106894831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15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"_Toc106894832"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3.2 如何查看培训详情记录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_Toc106894832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17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"_Toc106894833"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3.3 如何查看、审核国内进修申请记录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_Toc106894833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18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"_Toc106894834"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  <w:sz w:val="28"/>
              <w:szCs w:val="28"/>
            </w:rPr>
            <w:t>3.4 如何查看进修打卡记录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_Toc106894834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20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rPr>
              <w:rFonts w:ascii="仿宋" w:hAnsi="仿宋" w:eastAsia="仿宋"/>
              <w:sz w:val="28"/>
              <w:szCs w:val="28"/>
            </w:rPr>
          </w:pPr>
          <w:r>
            <w:rPr>
              <w:rFonts w:ascii="仿宋" w:hAnsi="仿宋" w:eastAsia="仿宋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p>
      <w:pPr>
        <w:pStyle w:val="11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  <w:bookmarkStart w:id="0" w:name="_Toc106894822"/>
      <w:r>
        <w:rPr>
          <w:rFonts w:hint="eastAsia" w:ascii="仿宋" w:hAnsi="仿宋" w:eastAsia="仿宋"/>
          <w:sz w:val="28"/>
          <w:szCs w:val="28"/>
        </w:rPr>
        <w:t>一、</w:t>
      </w:r>
      <w:r>
        <w:rPr>
          <w:rFonts w:hint="eastAsia"/>
        </w:rPr>
        <w:t>如何登录</w:t>
      </w:r>
      <w:bookmarkEnd w:id="0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电脑端登录网址：</w:t>
      </w:r>
      <w:r>
        <w:rPr>
          <w:rFonts w:ascii="仿宋" w:hAnsi="仿宋" w:eastAsia="仿宋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  https://jsfzzx.hebmu.edu.cn/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点击管理员登录，使用学校统一身份认证账号+密码完成登录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3675" cy="2933700"/>
            <wp:effectExtent l="57150" t="19050" r="60325" b="952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8" cy="293402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院系管理员进入管理后台，仅可查看本学院下人员各菜单数据。</w:t>
      </w:r>
    </w:p>
    <w:p>
      <w:pPr>
        <w:pStyle w:val="11"/>
        <w:jc w:val="left"/>
        <w:rPr>
          <w:rFonts w:hint="eastAsia"/>
        </w:rPr>
      </w:pPr>
      <w:bookmarkStart w:id="1" w:name="_Toc106894823"/>
      <w:r>
        <w:rPr>
          <w:rFonts w:hint="eastAsia"/>
        </w:rPr>
        <w:t>二、如何进行培训管理</w:t>
      </w:r>
      <w:bookmarkEnd w:id="1"/>
    </w:p>
    <w:p>
      <w:pPr>
        <w:outlineLvl w:val="1"/>
        <w:rPr>
          <w:sz w:val="28"/>
          <w:szCs w:val="28"/>
        </w:rPr>
      </w:pPr>
      <w:bookmarkStart w:id="2" w:name="_Toc106894824"/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.1 </w:t>
      </w:r>
      <w:r>
        <w:rPr>
          <w:rFonts w:hint="eastAsia"/>
          <w:sz w:val="28"/>
          <w:szCs w:val="28"/>
        </w:rPr>
        <w:t>如何发布培训活动</w:t>
      </w:r>
      <w:bookmarkEnd w:id="2"/>
    </w:p>
    <w:p>
      <w:pPr>
        <w:pStyle w:val="17"/>
        <w:ind w:left="360" w:firstLine="0" w:firstLineChars="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登录院系管理员后台后，即可进行培训活动的管理工作。点击培训管理-进入培训页面。</w:t>
      </w:r>
      <w:r>
        <w:rPr>
          <w:rFonts w:hint="eastAsia" w:ascii="仿宋" w:hAnsi="仿宋" w:eastAsia="仿宋"/>
          <w:color w:val="FF0000"/>
          <w:sz w:val="28"/>
          <w:szCs w:val="28"/>
        </w:rPr>
        <w:t>在该页面下可查看到报名范围包含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本院系</w:t>
      </w:r>
      <w:r>
        <w:rPr>
          <w:rFonts w:hint="eastAsia" w:ascii="仿宋" w:hAnsi="仿宋" w:eastAsia="仿宋"/>
          <w:color w:val="FF0000"/>
          <w:sz w:val="28"/>
          <w:szCs w:val="28"/>
        </w:rPr>
        <w:t>的培训活动，以及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本人发布</w:t>
      </w:r>
      <w:r>
        <w:rPr>
          <w:rFonts w:hint="eastAsia" w:ascii="仿宋" w:hAnsi="仿宋" w:eastAsia="仿宋"/>
          <w:color w:val="FF0000"/>
          <w:sz w:val="28"/>
          <w:szCs w:val="28"/>
        </w:rPr>
        <w:t>的所有培训活动。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66690" cy="2077085"/>
            <wp:effectExtent l="57150" t="19050" r="48260" b="946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050" cy="207728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点击“发布培训”即可发布新的培训活动。填写培训基本信息。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468495" cy="4766310"/>
            <wp:effectExtent l="57150" t="19050" r="65405" b="914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31" cy="476653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点击高级设置可对此次培训进行更为具体的设置。若未进行高级设置，则默认报名范围为全体人员。其他设置项默认为空。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若进行高级设置：</w:t>
      </w:r>
    </w:p>
    <w:p>
      <w:pPr>
        <w:pStyle w:val="17"/>
        <w:numPr>
          <w:ilvl w:val="0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“报名范围”：可根据现有组织架构进行勾选。报名范围为勾选院系。</w:t>
      </w:r>
    </w:p>
    <w:p>
      <w:pPr>
        <w:pStyle w:val="17"/>
        <w:numPr>
          <w:ilvl w:val="0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“开放报名”：打开后则可允许指定院系范围外人员进行报名，此时可设置报名范围外名额数。</w:t>
      </w:r>
    </w:p>
    <w:p>
      <w:pPr>
        <w:pStyle w:val="17"/>
        <w:numPr>
          <w:ilvl w:val="0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“培训开始后不允许取消报名”：勾选后，培训一旦开始则无法取消报名。</w:t>
      </w:r>
    </w:p>
    <w:p>
      <w:pPr>
        <w:pStyle w:val="17"/>
        <w:numPr>
          <w:ilvl w:val="0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“报名需审核”：勾选后，所有的报名数据需要审核通过后才视为报名成功。</w:t>
      </w:r>
    </w:p>
    <w:p>
      <w:pPr>
        <w:pStyle w:val="17"/>
        <w:numPr>
          <w:ilvl w:val="0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“活动证书”：可自主设置此次培训的证书，此次培训学分审核通过后则自动发放该培训证书。</w:t>
      </w:r>
    </w:p>
    <w:p>
      <w:pPr>
        <w:pStyle w:val="17"/>
        <w:numPr>
          <w:ilvl w:val="0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“经费说明”：描述的内容会在培训详情下展示。</w:t>
      </w:r>
    </w:p>
    <w:p>
      <w:pPr>
        <w:pStyle w:val="17"/>
        <w:numPr>
          <w:ilvl w:val="0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“需填写报名表”：设置表单后，教师报名时需要填写报名表。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44465" cy="2277110"/>
            <wp:effectExtent l="57150" t="19050" r="51435" b="1041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780" cy="22776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培训信息设置完成后，点击提交。则弹出以下通知设置界面：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41160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若发布的活动需要发送提醒消息给报名范围内人员，则可勾选对应选项。若无需发放提醒消息，则无需勾选任何按钮，点击确认，则本次培训活动发布成功。</w:t>
      </w:r>
    </w:p>
    <w:p>
      <w:pPr>
        <w:pStyle w:val="17"/>
        <w:numPr>
          <w:ilvl w:val="0"/>
          <w:numId w:val="2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勾选学习通提醒</w:t>
      </w:r>
    </w:p>
    <w:p>
      <w:pPr>
        <w:pStyle w:val="17"/>
        <w:ind w:left="1000" w:firstLine="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勾选“活动发布后邀请报名范围内用户进行报名”则会发送提醒消息到云上冀医app中，报名范围人员皆可收到该培训活动提醒。</w:t>
      </w:r>
    </w:p>
    <w:p>
      <w:pPr>
        <w:pStyle w:val="17"/>
        <w:ind w:left="1000"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勾选“活动开始前_小时提醒用户参加培训”，则会发送提醒消息到云上冀医app中，报名范围人员在指定时间下皆可收到该培训活动提醒。</w:t>
      </w:r>
    </w:p>
    <w:p>
      <w:pPr>
        <w:pStyle w:val="17"/>
        <w:numPr>
          <w:ilvl w:val="0"/>
          <w:numId w:val="2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勾选微信提醒（</w:t>
      </w:r>
      <w:r>
        <w:rPr>
          <w:rFonts w:hint="eastAsia" w:ascii="仿宋" w:hAnsi="仿宋" w:eastAsia="仿宋"/>
          <w:color w:val="FF0000"/>
          <w:sz w:val="28"/>
          <w:szCs w:val="28"/>
        </w:rPr>
        <w:t>平台未绑定微信号，请勿勾选此项提醒。</w:t>
      </w:r>
      <w:r>
        <w:rPr>
          <w:rFonts w:hint="eastAsia" w:ascii="仿宋" w:hAnsi="仿宋" w:eastAsia="仿宋"/>
          <w:sz w:val="28"/>
          <w:szCs w:val="28"/>
        </w:rPr>
        <w:t>）</w:t>
      </w:r>
    </w:p>
    <w:p>
      <w:pPr>
        <w:pStyle w:val="17"/>
        <w:numPr>
          <w:ilvl w:val="0"/>
          <w:numId w:val="2"/>
        </w:numPr>
        <w:ind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图示报名二维码可转发给其他老师通过云上冀医app可进行扫码报名。</w:t>
      </w:r>
    </w:p>
    <w:p>
      <w:pPr>
        <w:outlineLvl w:val="1"/>
        <w:rPr>
          <w:sz w:val="28"/>
          <w:szCs w:val="28"/>
        </w:rPr>
      </w:pPr>
      <w:bookmarkStart w:id="3" w:name="_Toc106894825"/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.2 </w:t>
      </w:r>
      <w:r>
        <w:rPr>
          <w:rFonts w:hint="eastAsia"/>
          <w:sz w:val="28"/>
          <w:szCs w:val="28"/>
        </w:rPr>
        <w:t>如何发布签到</w:t>
      </w:r>
      <w:bookmarkEnd w:id="3"/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线下培训活动往往需要进行签到。通过平台可以发布签到活动，到场的教师可以通过扫码等方式进行签到。</w:t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进入培训详情，点击新增活动-签到</w:t>
      </w:r>
    </w:p>
    <w:p>
      <w:pPr>
        <w:pStyle w:val="10"/>
        <w:shd w:val="clear" w:color="auto" w:fill="FFFFFF"/>
        <w:spacing w:before="0" w:beforeAutospacing="0" w:after="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96862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平台支持三种签到，二维码签到、手势签到、位置签到。按需选择即可。</w:t>
      </w:r>
    </w:p>
    <w:p>
      <w:pPr>
        <w:ind w:firstLine="280" w:firstLineChars="10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hint="eastAsia" w:ascii="仿宋" w:hAnsi="仿宋" w:eastAsia="仿宋"/>
          <w:sz w:val="28"/>
          <w:szCs w:val="28"/>
        </w:rPr>
        <w:t>培训现场展示签到二维码供参训老师扫码即可完成签到。</w:t>
      </w:r>
    </w:p>
    <w:p>
      <w:pPr>
        <w:pStyle w:val="10"/>
        <w:shd w:val="clear" w:color="auto" w:fill="FFFFFF"/>
        <w:spacing w:before="0" w:beforeAutospacing="0" w:after="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40640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点击放大二维码，即可将二维码展示在大屏上供老师扫码签到。</w:t>
      </w:r>
    </w:p>
    <w:p>
      <w:pPr>
        <w:pStyle w:val="10"/>
        <w:shd w:val="clear" w:color="auto" w:fill="FFFFFF"/>
        <w:spacing w:before="0" w:beforeAutospacing="0" w:after="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9686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扫码数据也会实时显示在大屏上。</w:t>
      </w:r>
    </w:p>
    <w:p>
      <w:pPr>
        <w:pStyle w:val="10"/>
        <w:shd w:val="clear" w:color="auto" w:fill="FFFFFF"/>
        <w:spacing w:before="0" w:beforeAutospacing="0" w:after="36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968625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签到的情况可在签到页下方进行查看。同时也可将签到数据进行导出。</w:t>
      </w:r>
    </w:p>
    <w:p>
      <w:pPr>
        <w:pStyle w:val="10"/>
        <w:shd w:val="clear" w:color="auto" w:fill="FFFFFF"/>
        <w:spacing w:before="0" w:beforeAutospacing="0" w:after="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96862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导出表如下：</w:t>
      </w:r>
    </w:p>
    <w:p>
      <w:pPr>
        <w:pStyle w:val="10"/>
        <w:shd w:val="clear" w:color="auto" w:fill="FFFFFF"/>
        <w:spacing w:before="0" w:beforeAutospacing="0" w:after="36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136969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sz w:val="28"/>
          <w:szCs w:val="28"/>
        </w:rPr>
      </w:pPr>
      <w:bookmarkStart w:id="4" w:name="_Toc106894826"/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.3 </w:t>
      </w:r>
      <w:r>
        <w:rPr>
          <w:rFonts w:hint="eastAsia"/>
          <w:sz w:val="28"/>
          <w:szCs w:val="28"/>
        </w:rPr>
        <w:t>如何发布作业</w:t>
      </w:r>
      <w:bookmarkEnd w:id="4"/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当针对该场培训活动需要参训人员反馈培训成果、培训总结、培训心得等材料时。可以在当前培训活动下发布作业。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进入活动详情页，点击+活动，选择作业</w:t>
      </w:r>
    </w:p>
    <w:p>
      <w:pPr>
        <w:pStyle w:val="10"/>
        <w:spacing w:before="0" w:beforeAutospacing="0" w:after="0" w:afterAutospacing="0"/>
        <w:ind w:firstLine="420"/>
      </w:pPr>
      <w:r>
        <w:drawing>
          <wp:inline distT="0" distB="0" distL="0" distR="0">
            <wp:extent cx="5274310" cy="296481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自定义作业名称，如：培训总结。自定义作业内容、提交时间、最少字数限制。</w:t>
      </w:r>
    </w:p>
    <w:p>
      <w:pPr>
        <w:pStyle w:val="10"/>
        <w:spacing w:before="0" w:beforeAutospacing="0" w:after="0" w:afterAutospacing="0"/>
        <w:ind w:firstLine="420"/>
      </w:pPr>
      <w:r>
        <w:drawing>
          <wp:inline distT="0" distB="0" distL="0" distR="0">
            <wp:extent cx="5274310" cy="5311140"/>
            <wp:effectExtent l="0" t="0" r="254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作业添加后，参加此次活动的人员便可以在本场培训下，指定时间范围内提交作业。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管理员可查看此次作业的提交情况，点击进入作业模块。</w:t>
      </w:r>
    </w:p>
    <w:p>
      <w:pPr>
        <w:pStyle w:val="10"/>
        <w:spacing w:before="0" w:beforeAutospacing="0" w:after="0" w:afterAutospacing="0"/>
        <w:ind w:firstLine="420"/>
      </w:pPr>
      <w:r>
        <w:drawing>
          <wp:inline distT="0" distB="0" distL="0" distR="0">
            <wp:extent cx="5274310" cy="296481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可查看到已交未交情况。同时可以点击导出数据按钮，导出提交的材料。</w:t>
      </w:r>
    </w:p>
    <w:p>
      <w:pPr>
        <w:pStyle w:val="10"/>
        <w:spacing w:before="0" w:beforeAutospacing="0" w:after="0" w:afterAutospacing="0"/>
        <w:ind w:firstLine="420"/>
      </w:pPr>
      <w:r>
        <w:drawing>
          <wp:inline distT="0" distB="0" distL="0" distR="0">
            <wp:extent cx="5274310" cy="269557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导出的数据为压缩包，内含以参训人员为单位的作业附件材料</w:t>
      </w:r>
    </w:p>
    <w:p>
      <w:pPr>
        <w:outlineLvl w:val="1"/>
        <w:rPr>
          <w:sz w:val="28"/>
          <w:szCs w:val="28"/>
        </w:rPr>
      </w:pPr>
      <w:bookmarkStart w:id="5" w:name="_Toc106894827"/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.4 </w:t>
      </w:r>
      <w:r>
        <w:rPr>
          <w:rFonts w:hint="eastAsia"/>
          <w:sz w:val="28"/>
          <w:szCs w:val="28"/>
        </w:rPr>
        <w:t>如何查看、管理报名数据</w:t>
      </w:r>
      <w:bookmarkEnd w:id="5"/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点击报名情况-详情按钮即可查看报名的详细数据。</w:t>
      </w:r>
    </w:p>
    <w:p>
      <w:pPr>
        <w:pStyle w:val="10"/>
        <w:shd w:val="clear" w:color="auto" w:fill="FFFFFF"/>
        <w:spacing w:before="0" w:beforeAutospacing="0" w:after="0" w:afterAutospacing="0" w:line="555" w:lineRule="atLeast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96862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并且可以进行数据导入、导出等操作。</w:t>
      </w:r>
    </w:p>
    <w:p>
      <w:pPr>
        <w:pStyle w:val="10"/>
        <w:shd w:val="clear" w:color="auto" w:fill="FFFFFF"/>
        <w:spacing w:before="0" w:beforeAutospacing="0" w:after="0" w:afterAutospacing="0" w:line="555" w:lineRule="atLeast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968625"/>
            <wp:effectExtent l="0" t="0" r="254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sz w:val="28"/>
          <w:szCs w:val="28"/>
        </w:rPr>
      </w:pPr>
      <w:bookmarkStart w:id="6" w:name="_Toc106894828"/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.5 </w:t>
      </w:r>
      <w:r>
        <w:rPr>
          <w:rFonts w:hint="eastAsia"/>
          <w:sz w:val="28"/>
          <w:szCs w:val="28"/>
        </w:rPr>
        <w:t>如何进行学时学分审核</w:t>
      </w:r>
      <w:bookmarkEnd w:id="6"/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培训活动发布、举办后。对于参训人员可根据签到、完成任务情况进行学分审核。审核通过的人员，即可拿到本次培训对应的学时学分数。统计记录到教师档案下。</w:t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进入学分审核-详情界面</w:t>
      </w:r>
    </w:p>
    <w:p>
      <w:pPr>
        <w:pStyle w:val="10"/>
        <w:shd w:val="clear" w:color="auto" w:fill="FFFFFF"/>
        <w:spacing w:before="0" w:beforeAutospacing="0" w:after="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968625"/>
            <wp:effectExtent l="0" t="0" r="254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可对参训人员的数据进行单个审核或批量审核。审核界面可以查看签到情况、作业提交情况等。可作为审核依据。</w:t>
      </w:r>
    </w:p>
    <w:p>
      <w:pPr>
        <w:pStyle w:val="10"/>
        <w:shd w:val="clear" w:color="auto" w:fill="FFFFFF"/>
        <w:spacing w:before="0" w:beforeAutospacing="0" w:after="36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968625"/>
            <wp:effectExtent l="0" t="0" r="254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sz w:val="28"/>
          <w:szCs w:val="28"/>
        </w:rPr>
      </w:pPr>
      <w:bookmarkStart w:id="7" w:name="_Toc106894829"/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.6 </w:t>
      </w:r>
      <w:r>
        <w:rPr>
          <w:rFonts w:hint="eastAsia"/>
          <w:sz w:val="28"/>
          <w:szCs w:val="28"/>
        </w:rPr>
        <w:t>如何导入历史培训数据</w:t>
      </w:r>
      <w:bookmarkEnd w:id="7"/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对于学校历史开展的培训活动，并且已经给老师授予学时学分，若想要导入历史数据，并将数据记录到教发平台中。可通过批量导入的方式导入数据，导入步骤如下：</w:t>
      </w:r>
    </w:p>
    <w:p>
      <w:pPr>
        <w:ind w:firstLine="280" w:firstLineChars="10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hint="eastAsia" w:ascii="仿宋" w:hAnsi="仿宋" w:eastAsia="仿宋"/>
          <w:sz w:val="28"/>
          <w:szCs w:val="28"/>
        </w:rPr>
        <w:t>进入培训管理-导入</w:t>
      </w:r>
    </w:p>
    <w:p>
      <w:pPr>
        <w:pStyle w:val="10"/>
        <w:shd w:val="clear" w:color="auto" w:fill="FFFFFF"/>
        <w:spacing w:before="0" w:beforeAutospacing="0" w:after="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035810"/>
            <wp:effectExtent l="0" t="0" r="2540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下载模板，补全模板内容后上传文件即可</w:t>
      </w:r>
    </w:p>
    <w:p>
      <w:pPr>
        <w:pStyle w:val="10"/>
        <w:shd w:val="clear" w:color="auto" w:fill="FFFFFF"/>
        <w:spacing w:before="0" w:beforeAutospacing="0" w:after="36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303085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根据模板要求补全内容，完成表格填写后批量导入即可</w:t>
      </w:r>
    </w:p>
    <w:p>
      <w:pPr>
        <w:pStyle w:val="10"/>
        <w:shd w:val="clear" w:color="auto" w:fill="FFFFFF"/>
        <w:spacing w:before="0" w:beforeAutospacing="0" w:after="36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257492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360" w:afterAutospacing="0"/>
        <w:ind w:firstLine="540"/>
        <w:rPr>
          <w:rFonts w:hint="eastAsia" w:ascii="微软雅黑" w:hAnsi="微软雅黑" w:eastAsia="微软雅黑"/>
          <w:color w:val="181E33"/>
          <w:sz w:val="27"/>
          <w:szCs w:val="27"/>
        </w:rPr>
      </w:pPr>
      <w:r>
        <w:rPr>
          <w:rFonts w:ascii="微软雅黑" w:hAnsi="微软雅黑" w:eastAsia="微软雅黑"/>
          <w:color w:val="181E33"/>
          <w:sz w:val="27"/>
          <w:szCs w:val="27"/>
        </w:rPr>
        <w:drawing>
          <wp:inline distT="0" distB="0" distL="0" distR="0">
            <wp:extent cx="5274310" cy="1823085"/>
            <wp:effectExtent l="0" t="0" r="254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left"/>
      </w:pPr>
      <w:bookmarkStart w:id="8" w:name="_Toc106894830"/>
      <w:r>
        <w:rPr>
          <w:rFonts w:hint="eastAsia"/>
        </w:rPr>
        <w:t>三、如何进行数据监控与统计</w:t>
      </w:r>
      <w:bookmarkEnd w:id="8"/>
    </w:p>
    <w:p>
      <w:pPr>
        <w:outlineLvl w:val="1"/>
        <w:rPr>
          <w:sz w:val="28"/>
          <w:szCs w:val="28"/>
        </w:rPr>
      </w:pPr>
      <w:bookmarkStart w:id="9" w:name="_Toc106894831"/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 xml:space="preserve">.1 </w:t>
      </w:r>
      <w:r>
        <w:rPr>
          <w:rFonts w:hint="eastAsia"/>
          <w:sz w:val="28"/>
          <w:szCs w:val="28"/>
        </w:rPr>
        <w:t>如何查看、审核学分申请记录</w:t>
      </w:r>
      <w:bookmarkEnd w:id="9"/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进入教发统计-学分申请，即可查看、筛选、审核、导出本院系下人员的学分申请记录。</w:t>
      </w:r>
      <w:r>
        <w:drawing>
          <wp:inline distT="0" distB="0" distL="0" distR="0">
            <wp:extent cx="5274310" cy="282257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点击右侧查看按钮即可进入提交详情页面。若该申请待处理，则可审核数据。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190490" cy="320294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971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同时，也可在云上冀医app的收件箱中完成审核。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2134870" cy="36576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8623" cy="366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748790" cy="3690620"/>
            <wp:effectExtent l="0" t="0" r="381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788" cy="371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sz w:val="28"/>
          <w:szCs w:val="28"/>
        </w:rPr>
      </w:pPr>
      <w:bookmarkStart w:id="10" w:name="_Toc106894832"/>
      <w:r>
        <w:rPr>
          <w:sz w:val="28"/>
          <w:szCs w:val="28"/>
        </w:rPr>
        <w:t xml:space="preserve">3.2 </w:t>
      </w:r>
      <w:r>
        <w:rPr>
          <w:rFonts w:hint="eastAsia"/>
          <w:sz w:val="28"/>
          <w:szCs w:val="28"/>
        </w:rPr>
        <w:t>如何查看培训详情记录</w:t>
      </w:r>
      <w:bookmarkEnd w:id="10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进入教发统计-培训详情，即可查看、筛选、导出本院系下人员的培训统计数据。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811780"/>
            <wp:effectExtent l="0" t="0" r="2540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根据学校学分文件要求，可在平台根据指定筛选条件进行数据的查询、导出、统计。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（1）根据“教师类型”可检索指定类型教师的数据，如新入职教师、青年教师等。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（2）根据“任务完成时间”可检索指定时间范围下的教师学习数据，如指定某一年的查询条件。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（3）校内培训完成数、学时、学分：指通过校内发布的培训活动，获得学时学分数据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（4）校外培训完成数、学时、学分：指通过“学分申请”审批流，获得学时学分数据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（5）在线课程完成数、学时、学分：指通过“在线课程”学习完成，获得学时学分数据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（6）总学时、总学分：指通过平台记录的全部学时学分总和。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76415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outlineLvl w:val="1"/>
        <w:rPr>
          <w:sz w:val="28"/>
          <w:szCs w:val="28"/>
        </w:rPr>
      </w:pPr>
      <w:bookmarkStart w:id="11" w:name="_Toc106894833"/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 xml:space="preserve">.3 </w:t>
      </w:r>
      <w:r>
        <w:rPr>
          <w:rFonts w:hint="eastAsia"/>
          <w:sz w:val="28"/>
          <w:szCs w:val="28"/>
        </w:rPr>
        <w:t>如何查看、审核国内进修申请记录</w:t>
      </w:r>
      <w:bookmarkEnd w:id="1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进入教发统计-国内进修申请，即可查看、筛选、审核、导出本院系下人员的国内进修申请数据。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159375" cy="2808605"/>
            <wp:effectExtent l="0" t="0" r="317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5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点击右侧查看按钮即可进入提交详情页面。若该申请待处理，则可审核数据。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320294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2870835" cy="2798445"/>
            <wp:effectExtent l="0" t="0" r="5715" b="190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29" cy="27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审核时，需编辑手写签名，电脑端点击编辑按钮。通过云上冀医app扫一扫，在手机端写入签名即可同步至电脑端。手签第一次，后续审批单默认取首次电子签名。</w:t>
      </w:r>
    </w:p>
    <w:p>
      <w:pPr>
        <w:rPr>
          <w:rFonts w:hint="eastAsia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同时，也可在云上冀医app的收件箱中完成审核。手机端电子签名轻触选中区域即可进入签名编辑页。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134870" cy="36576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38286" cy="366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023745" cy="3747770"/>
            <wp:effectExtent l="0" t="0" r="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889" cy="376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若管理员需要则可下载本学院下人员的国内进修申请单。点击右上角“打印”按钮，进入打印界面，点击下载按钮，即可下载进修申请表材料。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68295"/>
            <wp:effectExtent l="0" t="0" r="254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68245"/>
            <wp:effectExtent l="0" t="0" r="2540" b="825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sz w:val="28"/>
          <w:szCs w:val="28"/>
        </w:rPr>
      </w:pPr>
      <w:bookmarkStart w:id="12" w:name="_Toc106894834"/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 xml:space="preserve">.4 </w:t>
      </w:r>
      <w:r>
        <w:rPr>
          <w:rFonts w:hint="eastAsia"/>
          <w:sz w:val="28"/>
          <w:szCs w:val="28"/>
        </w:rPr>
        <w:t>如何查看进修打卡记录</w:t>
      </w:r>
      <w:bookmarkEnd w:id="12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进入教发统计-进修打卡，即可查看、筛选、导出本院系下人员的国内进修打卡数据。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816225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90883148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89085C"/>
    <w:multiLevelType w:val="multilevel"/>
    <w:tmpl w:val="5289085C"/>
    <w:lvl w:ilvl="0" w:tentative="0">
      <w:start w:val="1"/>
      <w:numFmt w:val="decimal"/>
      <w:lvlText w:val="（%1）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abstractNum w:abstractNumId="1">
    <w:nsid w:val="7DC5492F"/>
    <w:multiLevelType w:val="multilevel"/>
    <w:tmpl w:val="7DC5492F"/>
    <w:lvl w:ilvl="0" w:tentative="0">
      <w:start w:val="1"/>
      <w:numFmt w:val="decimal"/>
      <w:lvlText w:val="%1）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wMDUwM2Y4NzIyOTYzM2M3ZGZhMDdjMDg1ODEwZTUifQ=="/>
  </w:docVars>
  <w:rsids>
    <w:rsidRoot w:val="00CE2B1D"/>
    <w:rsid w:val="000019B8"/>
    <w:rsid w:val="00032FDE"/>
    <w:rsid w:val="00037685"/>
    <w:rsid w:val="000501F9"/>
    <w:rsid w:val="000550F6"/>
    <w:rsid w:val="0007332D"/>
    <w:rsid w:val="00077D18"/>
    <w:rsid w:val="000958BD"/>
    <w:rsid w:val="000B517F"/>
    <w:rsid w:val="000E642E"/>
    <w:rsid w:val="000F0798"/>
    <w:rsid w:val="000F2E1A"/>
    <w:rsid w:val="000F69F9"/>
    <w:rsid w:val="00121653"/>
    <w:rsid w:val="00133A74"/>
    <w:rsid w:val="0016450F"/>
    <w:rsid w:val="00170742"/>
    <w:rsid w:val="00195918"/>
    <w:rsid w:val="001B629D"/>
    <w:rsid w:val="001C5DDA"/>
    <w:rsid w:val="001E6121"/>
    <w:rsid w:val="00214638"/>
    <w:rsid w:val="00222487"/>
    <w:rsid w:val="0023478A"/>
    <w:rsid w:val="002418A8"/>
    <w:rsid w:val="00251D63"/>
    <w:rsid w:val="002863EA"/>
    <w:rsid w:val="002902DC"/>
    <w:rsid w:val="002A20B8"/>
    <w:rsid w:val="002B0787"/>
    <w:rsid w:val="002E2678"/>
    <w:rsid w:val="002F1508"/>
    <w:rsid w:val="00312809"/>
    <w:rsid w:val="00316CBC"/>
    <w:rsid w:val="00357FCF"/>
    <w:rsid w:val="00373697"/>
    <w:rsid w:val="00375EF4"/>
    <w:rsid w:val="003810DF"/>
    <w:rsid w:val="003D5E41"/>
    <w:rsid w:val="00424790"/>
    <w:rsid w:val="00441763"/>
    <w:rsid w:val="00443AEF"/>
    <w:rsid w:val="00456584"/>
    <w:rsid w:val="00457EA9"/>
    <w:rsid w:val="004824B6"/>
    <w:rsid w:val="004831D9"/>
    <w:rsid w:val="00490D35"/>
    <w:rsid w:val="00491D9D"/>
    <w:rsid w:val="00497446"/>
    <w:rsid w:val="004B1DB4"/>
    <w:rsid w:val="004B1FD6"/>
    <w:rsid w:val="004F34FD"/>
    <w:rsid w:val="005024E4"/>
    <w:rsid w:val="00511EDF"/>
    <w:rsid w:val="00535305"/>
    <w:rsid w:val="005376B9"/>
    <w:rsid w:val="00556FAC"/>
    <w:rsid w:val="00592C1A"/>
    <w:rsid w:val="005A5754"/>
    <w:rsid w:val="005B08D2"/>
    <w:rsid w:val="005B69F0"/>
    <w:rsid w:val="005C00D6"/>
    <w:rsid w:val="005C591E"/>
    <w:rsid w:val="005C749D"/>
    <w:rsid w:val="005D11ED"/>
    <w:rsid w:val="00607215"/>
    <w:rsid w:val="00615C86"/>
    <w:rsid w:val="00650AF6"/>
    <w:rsid w:val="00651F79"/>
    <w:rsid w:val="00654855"/>
    <w:rsid w:val="006557B7"/>
    <w:rsid w:val="00660CD7"/>
    <w:rsid w:val="006611F7"/>
    <w:rsid w:val="0066537E"/>
    <w:rsid w:val="00674A84"/>
    <w:rsid w:val="00676920"/>
    <w:rsid w:val="006834EF"/>
    <w:rsid w:val="0069035B"/>
    <w:rsid w:val="00691963"/>
    <w:rsid w:val="006A2820"/>
    <w:rsid w:val="006B3E9D"/>
    <w:rsid w:val="006C7C47"/>
    <w:rsid w:val="006C7D00"/>
    <w:rsid w:val="006D1ED8"/>
    <w:rsid w:val="007219CF"/>
    <w:rsid w:val="007235F3"/>
    <w:rsid w:val="00750D83"/>
    <w:rsid w:val="007618AE"/>
    <w:rsid w:val="007A1D3D"/>
    <w:rsid w:val="007A6B38"/>
    <w:rsid w:val="007B072B"/>
    <w:rsid w:val="00814158"/>
    <w:rsid w:val="00816957"/>
    <w:rsid w:val="0083317B"/>
    <w:rsid w:val="00837601"/>
    <w:rsid w:val="008466D4"/>
    <w:rsid w:val="0086672D"/>
    <w:rsid w:val="0087681A"/>
    <w:rsid w:val="00896D4F"/>
    <w:rsid w:val="008C5E05"/>
    <w:rsid w:val="008D6155"/>
    <w:rsid w:val="008F0EF7"/>
    <w:rsid w:val="008F5F26"/>
    <w:rsid w:val="00920269"/>
    <w:rsid w:val="009218FD"/>
    <w:rsid w:val="009655C6"/>
    <w:rsid w:val="009942DF"/>
    <w:rsid w:val="009C41A0"/>
    <w:rsid w:val="009C49DD"/>
    <w:rsid w:val="009C4F7A"/>
    <w:rsid w:val="009C5FE8"/>
    <w:rsid w:val="009C6AB1"/>
    <w:rsid w:val="009D403A"/>
    <w:rsid w:val="009D4097"/>
    <w:rsid w:val="009D49ED"/>
    <w:rsid w:val="00A30DAD"/>
    <w:rsid w:val="00A35530"/>
    <w:rsid w:val="00A42C2D"/>
    <w:rsid w:val="00A531D9"/>
    <w:rsid w:val="00A67606"/>
    <w:rsid w:val="00A747D1"/>
    <w:rsid w:val="00AB26BB"/>
    <w:rsid w:val="00AB6645"/>
    <w:rsid w:val="00AC62C1"/>
    <w:rsid w:val="00AD6E1E"/>
    <w:rsid w:val="00AE22E5"/>
    <w:rsid w:val="00AF6D13"/>
    <w:rsid w:val="00B04941"/>
    <w:rsid w:val="00B074E4"/>
    <w:rsid w:val="00B249AC"/>
    <w:rsid w:val="00B41E91"/>
    <w:rsid w:val="00B44FAA"/>
    <w:rsid w:val="00B5217B"/>
    <w:rsid w:val="00B54843"/>
    <w:rsid w:val="00B62B11"/>
    <w:rsid w:val="00B66604"/>
    <w:rsid w:val="00B91065"/>
    <w:rsid w:val="00BA7545"/>
    <w:rsid w:val="00BB2AF9"/>
    <w:rsid w:val="00BB4417"/>
    <w:rsid w:val="00BC6FBC"/>
    <w:rsid w:val="00BD24F0"/>
    <w:rsid w:val="00C317CD"/>
    <w:rsid w:val="00C50512"/>
    <w:rsid w:val="00C5189D"/>
    <w:rsid w:val="00C56A04"/>
    <w:rsid w:val="00C56F07"/>
    <w:rsid w:val="00C60A3B"/>
    <w:rsid w:val="00C74D1E"/>
    <w:rsid w:val="00C82BD1"/>
    <w:rsid w:val="00CA5BCF"/>
    <w:rsid w:val="00CA612E"/>
    <w:rsid w:val="00CA6603"/>
    <w:rsid w:val="00CE00C7"/>
    <w:rsid w:val="00CE2B1D"/>
    <w:rsid w:val="00CE358B"/>
    <w:rsid w:val="00CF04D3"/>
    <w:rsid w:val="00D2207B"/>
    <w:rsid w:val="00D254B4"/>
    <w:rsid w:val="00D30329"/>
    <w:rsid w:val="00D4296E"/>
    <w:rsid w:val="00D5260C"/>
    <w:rsid w:val="00D73A65"/>
    <w:rsid w:val="00DA13B5"/>
    <w:rsid w:val="00DA2E94"/>
    <w:rsid w:val="00DB69F3"/>
    <w:rsid w:val="00DC6C5D"/>
    <w:rsid w:val="00DE792C"/>
    <w:rsid w:val="00DF145E"/>
    <w:rsid w:val="00E01CB0"/>
    <w:rsid w:val="00E07DC6"/>
    <w:rsid w:val="00E117D9"/>
    <w:rsid w:val="00E22A48"/>
    <w:rsid w:val="00E3647D"/>
    <w:rsid w:val="00E46F29"/>
    <w:rsid w:val="00E50687"/>
    <w:rsid w:val="00E622EC"/>
    <w:rsid w:val="00E83D3E"/>
    <w:rsid w:val="00E94B58"/>
    <w:rsid w:val="00EB5999"/>
    <w:rsid w:val="00EC57A8"/>
    <w:rsid w:val="00F175FC"/>
    <w:rsid w:val="00F42329"/>
    <w:rsid w:val="00F454D6"/>
    <w:rsid w:val="00F50A27"/>
    <w:rsid w:val="00F54DA4"/>
    <w:rsid w:val="00FA64E8"/>
    <w:rsid w:val="00FB576D"/>
    <w:rsid w:val="00FB5EB7"/>
    <w:rsid w:val="00FE37A3"/>
    <w:rsid w:val="00FF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Title"/>
    <w:basedOn w:val="1"/>
    <w:next w:val="1"/>
    <w:link w:val="2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annotation subject"/>
    <w:basedOn w:val="5"/>
    <w:next w:val="5"/>
    <w:link w:val="22"/>
    <w:semiHidden/>
    <w:unhideWhenUsed/>
    <w:qFormat/>
    <w:uiPriority w:val="99"/>
    <w:rPr>
      <w:b/>
      <w:bCs/>
    </w:rPr>
  </w:style>
  <w:style w:type="character" w:styleId="15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4"/>
    <w:semiHidden/>
    <w:unhideWhenUsed/>
    <w:qFormat/>
    <w:uiPriority w:val="99"/>
    <w:rPr>
      <w:sz w:val="21"/>
      <w:szCs w:val="21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Unresolved Mention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19">
    <w:name w:val="页眉 字符"/>
    <w:basedOn w:val="14"/>
    <w:link w:val="7"/>
    <w:qFormat/>
    <w:uiPriority w:val="99"/>
    <w:rPr>
      <w:sz w:val="18"/>
      <w:szCs w:val="18"/>
    </w:rPr>
  </w:style>
  <w:style w:type="character" w:customStyle="1" w:styleId="20">
    <w:name w:val="页脚 字符"/>
    <w:basedOn w:val="14"/>
    <w:link w:val="6"/>
    <w:qFormat/>
    <w:uiPriority w:val="99"/>
    <w:rPr>
      <w:sz w:val="18"/>
      <w:szCs w:val="18"/>
    </w:rPr>
  </w:style>
  <w:style w:type="character" w:customStyle="1" w:styleId="21">
    <w:name w:val="批注文字 字符"/>
    <w:basedOn w:val="14"/>
    <w:link w:val="5"/>
    <w:semiHidden/>
    <w:qFormat/>
    <w:uiPriority w:val="99"/>
  </w:style>
  <w:style w:type="character" w:customStyle="1" w:styleId="22">
    <w:name w:val="批注主题 字符"/>
    <w:basedOn w:val="21"/>
    <w:link w:val="12"/>
    <w:semiHidden/>
    <w:qFormat/>
    <w:uiPriority w:val="99"/>
    <w:rPr>
      <w:b/>
      <w:bCs/>
    </w:rPr>
  </w:style>
  <w:style w:type="character" w:customStyle="1" w:styleId="23">
    <w:name w:val="标题 1 字符"/>
    <w:basedOn w:val="14"/>
    <w:link w:val="2"/>
    <w:qFormat/>
    <w:uiPriority w:val="9"/>
    <w:rPr>
      <w:rFonts w:eastAsia="仿宋"/>
      <w:b/>
      <w:bCs/>
      <w:kern w:val="44"/>
      <w:sz w:val="28"/>
      <w:szCs w:val="44"/>
    </w:rPr>
  </w:style>
  <w:style w:type="character" w:customStyle="1" w:styleId="24">
    <w:name w:val="标题 2 字符"/>
    <w:basedOn w:val="14"/>
    <w:link w:val="3"/>
    <w:qFormat/>
    <w:uiPriority w:val="9"/>
    <w:rPr>
      <w:rFonts w:eastAsia="仿宋" w:asciiTheme="majorHAnsi" w:hAnsiTheme="majorHAnsi" w:cstheme="majorBidi"/>
      <w:b/>
      <w:bCs/>
      <w:sz w:val="28"/>
      <w:szCs w:val="32"/>
    </w:rPr>
  </w:style>
  <w:style w:type="character" w:customStyle="1" w:styleId="25">
    <w:name w:val="标题 3 字符"/>
    <w:basedOn w:val="14"/>
    <w:link w:val="4"/>
    <w:semiHidden/>
    <w:qFormat/>
    <w:uiPriority w:val="9"/>
    <w:rPr>
      <w:b/>
      <w:bCs/>
      <w:sz w:val="32"/>
      <w:szCs w:val="32"/>
    </w:rPr>
  </w:style>
  <w:style w:type="character" w:customStyle="1" w:styleId="26">
    <w:name w:val="标题 字符"/>
    <w:basedOn w:val="14"/>
    <w:link w:val="11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numbering" Target="numbering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94DAA-B522-4DD4-9810-ED126F2377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2456</Words>
  <Characters>2543</Characters>
  <Lines>25</Lines>
  <Paragraphs>7</Paragraphs>
  <TotalTime>863</TotalTime>
  <ScaleCrop>false</ScaleCrop>
  <LinksUpToDate>false</LinksUpToDate>
  <CharactersWithSpaces>2579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2022-05-13T02:14:00Z</dcterms:created>
  <dc:creator>曹 利霞</dc:creator>
  <cp:lastModifiedBy>刘丹妮</cp:lastModifiedBy>
  <cp:lastPrinted>2022-06-09T07:05:00Z</cp:lastPrinted>
  <dcterms:modified xsi:type="dcterms:W3CDTF">2022-08-15T09:32:56Z</dcterms:modified>
  <cp:revision>100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14FF2F1A7E644193A6BCDF24D717E657</vt:lpwstr>
  </property>
</Properties>
</file>